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096090">
      <w:pPr>
        <w:pStyle w:val="2"/>
        <w:keepNext w:val="0"/>
        <w:keepLines w:val="0"/>
        <w:widowControl/>
        <w:suppressLineNumbers w:val="0"/>
        <w:jc w:val="center"/>
        <w:rPr>
          <w:sz w:val="36"/>
          <w:szCs w:val="36"/>
        </w:rPr>
      </w:pPr>
      <w:r>
        <w:rPr>
          <w:rFonts w:ascii="方正小标宋_GBK" w:hAnsi="方正小标宋_GBK" w:eastAsia="方正小标宋_GBK" w:cs="方正小标宋_GBK"/>
          <w:sz w:val="36"/>
          <w:szCs w:val="36"/>
        </w:rPr>
        <w:t>申报指南</w:t>
      </w:r>
    </w:p>
    <w:p w14:paraId="1F67D724">
      <w:pPr>
        <w:pStyle w:val="2"/>
        <w:keepNext w:val="0"/>
        <w:keepLines w:val="0"/>
        <w:widowControl/>
        <w:suppressLineNumbers w:val="0"/>
        <w:rPr>
          <w:sz w:val="21"/>
          <w:szCs w:val="21"/>
        </w:rPr>
      </w:pPr>
      <w:r>
        <w:rPr>
          <w:rFonts w:ascii="黑体" w:hAnsi="宋体" w:eastAsia="黑体" w:cs="黑体"/>
          <w:kern w:val="2"/>
          <w:sz w:val="24"/>
          <w:szCs w:val="24"/>
        </w:rPr>
        <w:t>一、重点项目</w:t>
      </w:r>
    </w:p>
    <w:p w14:paraId="4D0DE01C">
      <w:pPr>
        <w:pStyle w:val="2"/>
        <w:keepNext w:val="0"/>
        <w:keepLines w:val="0"/>
        <w:widowControl/>
        <w:suppressLineNumbers w:val="0"/>
        <w:rPr>
          <w:sz w:val="21"/>
          <w:szCs w:val="21"/>
        </w:rPr>
      </w:pPr>
      <w:r>
        <w:rPr>
          <w:rFonts w:ascii="仿宋_GB2312" w:eastAsia="仿宋_GB2312" w:cs="仿宋_GB2312"/>
          <w:kern w:val="2"/>
          <w:sz w:val="24"/>
          <w:szCs w:val="24"/>
        </w:rPr>
        <w:t>1.水生态安全视阈下四川长江上游生态屏障的韧性建构研究</w:t>
      </w:r>
    </w:p>
    <w:p w14:paraId="530450E8">
      <w:pPr>
        <w:pStyle w:val="2"/>
        <w:keepNext w:val="0"/>
        <w:keepLines w:val="0"/>
        <w:widowControl/>
        <w:suppressLineNumbers w:val="0"/>
        <w:rPr>
          <w:sz w:val="21"/>
          <w:szCs w:val="21"/>
        </w:rPr>
      </w:pPr>
      <w:r>
        <w:rPr>
          <w:rFonts w:hint="default" w:ascii="仿宋_GB2312" w:eastAsia="仿宋_GB2312" w:cs="仿宋_GB2312"/>
          <w:kern w:val="2"/>
          <w:sz w:val="24"/>
          <w:szCs w:val="24"/>
        </w:rPr>
        <w:t>2.川西高原生态脆弱区草地退化防控政策机制研究</w:t>
      </w:r>
    </w:p>
    <w:p w14:paraId="0918AB3E">
      <w:pPr>
        <w:pStyle w:val="2"/>
        <w:keepNext w:val="0"/>
        <w:keepLines w:val="0"/>
        <w:widowControl/>
        <w:suppressLineNumbers w:val="0"/>
        <w:rPr>
          <w:sz w:val="21"/>
          <w:szCs w:val="21"/>
        </w:rPr>
      </w:pPr>
      <w:r>
        <w:rPr>
          <w:rFonts w:hint="default" w:ascii="仿宋_GB2312" w:eastAsia="仿宋_GB2312" w:cs="仿宋_GB2312"/>
          <w:kern w:val="2"/>
          <w:sz w:val="24"/>
          <w:szCs w:val="24"/>
        </w:rPr>
        <w:t>3.美丽乡村“整县推进”</w:t>
      </w:r>
      <w:bookmarkStart w:id="0" w:name="_GoBack"/>
      <w:bookmarkEnd w:id="0"/>
      <w:r>
        <w:rPr>
          <w:rFonts w:hint="default" w:ascii="仿宋_GB2312" w:eastAsia="仿宋_GB2312" w:cs="仿宋_GB2312"/>
          <w:kern w:val="2"/>
          <w:sz w:val="24"/>
          <w:szCs w:val="24"/>
        </w:rPr>
        <w:t>的治理模式研究</w:t>
      </w:r>
    </w:p>
    <w:p w14:paraId="437B41EB">
      <w:pPr>
        <w:pStyle w:val="2"/>
        <w:keepNext w:val="0"/>
        <w:keepLines w:val="0"/>
        <w:widowControl/>
        <w:suppressLineNumbers w:val="0"/>
        <w:rPr>
          <w:sz w:val="21"/>
          <w:szCs w:val="21"/>
        </w:rPr>
      </w:pPr>
      <w:r>
        <w:rPr>
          <w:rFonts w:hint="default" w:ascii="仿宋_GB2312" w:eastAsia="仿宋_GB2312" w:cs="仿宋_GB2312"/>
          <w:kern w:val="2"/>
          <w:sz w:val="24"/>
          <w:szCs w:val="24"/>
        </w:rPr>
        <w:t>4.超大型城市适应气候变化工作清单研究</w:t>
      </w:r>
    </w:p>
    <w:p w14:paraId="56946FEA">
      <w:pPr>
        <w:pStyle w:val="2"/>
        <w:keepNext w:val="0"/>
        <w:keepLines w:val="0"/>
        <w:widowControl/>
        <w:suppressLineNumbers w:val="0"/>
        <w:rPr>
          <w:sz w:val="21"/>
          <w:szCs w:val="21"/>
        </w:rPr>
      </w:pPr>
      <w:r>
        <w:rPr>
          <w:rFonts w:hint="default" w:ascii="仿宋_GB2312" w:eastAsia="仿宋_GB2312" w:cs="仿宋_GB2312"/>
          <w:kern w:val="2"/>
          <w:sz w:val="24"/>
          <w:szCs w:val="24"/>
        </w:rPr>
        <w:t>5.四川省“十五五”碳达峰及温室气体全口径控排关键问题研究</w:t>
      </w:r>
    </w:p>
    <w:p w14:paraId="065204B5">
      <w:pPr>
        <w:pStyle w:val="2"/>
        <w:keepNext w:val="0"/>
        <w:keepLines w:val="0"/>
        <w:widowControl/>
        <w:suppressLineNumbers w:val="0"/>
        <w:rPr>
          <w:sz w:val="21"/>
          <w:szCs w:val="21"/>
        </w:rPr>
      </w:pPr>
      <w:r>
        <w:rPr>
          <w:rFonts w:hint="eastAsia" w:ascii="黑体" w:hAnsi="宋体" w:eastAsia="黑体" w:cs="黑体"/>
          <w:kern w:val="2"/>
          <w:sz w:val="24"/>
          <w:szCs w:val="24"/>
        </w:rPr>
        <w:t>二、一般项目</w:t>
      </w:r>
    </w:p>
    <w:p w14:paraId="3FCC361A">
      <w:pPr>
        <w:pStyle w:val="2"/>
        <w:keepNext w:val="0"/>
        <w:keepLines w:val="0"/>
        <w:widowControl/>
        <w:suppressLineNumbers w:val="0"/>
        <w:rPr>
          <w:sz w:val="21"/>
          <w:szCs w:val="21"/>
        </w:rPr>
      </w:pPr>
      <w:r>
        <w:rPr>
          <w:rFonts w:hint="default" w:ascii="仿宋_GB2312" w:eastAsia="仿宋_GB2312" w:cs="仿宋_GB2312"/>
          <w:kern w:val="2"/>
          <w:sz w:val="24"/>
          <w:szCs w:val="24"/>
        </w:rPr>
        <w:t>6.成渝地区绿色低碳转型与空气质量全面改善路径研究</w:t>
      </w:r>
    </w:p>
    <w:p w14:paraId="48C500F2">
      <w:pPr>
        <w:pStyle w:val="2"/>
        <w:keepNext w:val="0"/>
        <w:keepLines w:val="0"/>
        <w:widowControl/>
        <w:suppressLineNumbers w:val="0"/>
        <w:rPr>
          <w:sz w:val="21"/>
          <w:szCs w:val="21"/>
        </w:rPr>
      </w:pPr>
      <w:r>
        <w:rPr>
          <w:rFonts w:hint="default" w:ascii="仿宋_GB2312" w:eastAsia="仿宋_GB2312" w:cs="仿宋_GB2312"/>
          <w:kern w:val="2"/>
          <w:sz w:val="24"/>
          <w:szCs w:val="24"/>
        </w:rPr>
        <w:t>7.“十四五”美丽四川建设进展与成效评估</w:t>
      </w:r>
    </w:p>
    <w:p w14:paraId="09A39A1C">
      <w:pPr>
        <w:pStyle w:val="2"/>
        <w:keepNext w:val="0"/>
        <w:keepLines w:val="0"/>
        <w:widowControl/>
        <w:suppressLineNumbers w:val="0"/>
        <w:rPr>
          <w:sz w:val="21"/>
          <w:szCs w:val="21"/>
        </w:rPr>
      </w:pPr>
      <w:r>
        <w:rPr>
          <w:rFonts w:hint="default" w:ascii="仿宋_GB2312" w:eastAsia="仿宋_GB2312" w:cs="仿宋_GB2312"/>
          <w:kern w:val="2"/>
          <w:sz w:val="24"/>
          <w:szCs w:val="24"/>
        </w:rPr>
        <w:t>8.四川省美丽城市建设的差异化路径研究</w:t>
      </w:r>
    </w:p>
    <w:p w14:paraId="2D6D6DC6">
      <w:pPr>
        <w:pStyle w:val="2"/>
        <w:keepNext w:val="0"/>
        <w:keepLines w:val="0"/>
        <w:widowControl/>
        <w:suppressLineNumbers w:val="0"/>
        <w:rPr>
          <w:sz w:val="21"/>
          <w:szCs w:val="21"/>
        </w:rPr>
      </w:pPr>
      <w:r>
        <w:rPr>
          <w:rFonts w:hint="default" w:ascii="仿宋_GB2312" w:eastAsia="仿宋_GB2312" w:cs="仿宋_GB2312"/>
          <w:kern w:val="2"/>
          <w:sz w:val="24"/>
          <w:szCs w:val="24"/>
        </w:rPr>
        <w:t>9.“人工智能+”生态环境保护路径研究</w:t>
      </w:r>
    </w:p>
    <w:p w14:paraId="48254204">
      <w:pPr>
        <w:pStyle w:val="2"/>
        <w:keepNext w:val="0"/>
        <w:keepLines w:val="0"/>
        <w:widowControl/>
        <w:suppressLineNumbers w:val="0"/>
        <w:rPr>
          <w:sz w:val="21"/>
          <w:szCs w:val="21"/>
        </w:rPr>
      </w:pPr>
      <w:r>
        <w:rPr>
          <w:rFonts w:hint="default" w:ascii="仿宋_GB2312" w:eastAsia="仿宋_GB2312" w:cs="仿宋_GB2312"/>
          <w:kern w:val="2"/>
          <w:sz w:val="24"/>
          <w:szCs w:val="24"/>
        </w:rPr>
        <w:t>10.基于生态补偿的跨区域大气治理转移支付制度研究</w:t>
      </w:r>
    </w:p>
    <w:p w14:paraId="459AA6C2">
      <w:pPr>
        <w:pStyle w:val="2"/>
        <w:keepNext w:val="0"/>
        <w:keepLines w:val="0"/>
        <w:widowControl/>
        <w:suppressLineNumbers w:val="0"/>
        <w:rPr>
          <w:sz w:val="21"/>
          <w:szCs w:val="21"/>
        </w:rPr>
      </w:pPr>
      <w:r>
        <w:rPr>
          <w:rFonts w:hint="default" w:ascii="仿宋_GB2312" w:eastAsia="仿宋_GB2312" w:cs="仿宋_GB2312"/>
          <w:kern w:val="2"/>
          <w:sz w:val="24"/>
          <w:szCs w:val="24"/>
        </w:rPr>
        <w:t>11.新时代“美丽四川”形象建构与国际传播研究</w:t>
      </w:r>
    </w:p>
    <w:p w14:paraId="108BD247">
      <w:pPr>
        <w:pStyle w:val="2"/>
        <w:keepNext w:val="0"/>
        <w:keepLines w:val="0"/>
        <w:widowControl/>
        <w:suppressLineNumbers w:val="0"/>
        <w:rPr>
          <w:sz w:val="21"/>
          <w:szCs w:val="21"/>
        </w:rPr>
      </w:pPr>
      <w:r>
        <w:rPr>
          <w:rFonts w:hint="default" w:ascii="仿宋_GB2312" w:eastAsia="仿宋_GB2312" w:cs="仿宋_GB2312"/>
          <w:kern w:val="2"/>
          <w:sz w:val="24"/>
          <w:szCs w:val="24"/>
        </w:rPr>
        <w:t>12.美丽四川建设视域下农业面源污染系统治理模式与长效管控机制研究</w:t>
      </w:r>
    </w:p>
    <w:p w14:paraId="34CE3AF3">
      <w:pPr>
        <w:pStyle w:val="2"/>
        <w:keepNext w:val="0"/>
        <w:keepLines w:val="0"/>
        <w:widowControl/>
        <w:suppressLineNumbers w:val="0"/>
        <w:rPr>
          <w:sz w:val="21"/>
          <w:szCs w:val="21"/>
        </w:rPr>
      </w:pPr>
      <w:r>
        <w:rPr>
          <w:rFonts w:hint="default" w:ascii="仿宋_GB2312" w:eastAsia="仿宋_GB2312" w:cs="仿宋_GB2312"/>
          <w:kern w:val="2"/>
          <w:sz w:val="24"/>
          <w:szCs w:val="24"/>
        </w:rPr>
        <w:t>13.美丽四川生态文化的价值内核挖掘、社会认同建构与整合传播策略研究</w:t>
      </w:r>
    </w:p>
    <w:p w14:paraId="6EBCF312">
      <w:pPr>
        <w:pStyle w:val="2"/>
        <w:keepNext w:val="0"/>
        <w:keepLines w:val="0"/>
        <w:widowControl/>
        <w:suppressLineNumbers w:val="0"/>
        <w:rPr>
          <w:sz w:val="21"/>
          <w:szCs w:val="21"/>
        </w:rPr>
      </w:pPr>
      <w:r>
        <w:rPr>
          <w:rFonts w:hint="default" w:ascii="仿宋_GB2312" w:eastAsia="仿宋_GB2312" w:cs="仿宋_GB2312"/>
          <w:kern w:val="2"/>
          <w:sz w:val="24"/>
          <w:szCs w:val="24"/>
        </w:rPr>
        <w:t>14.面向基本建成美丽四川的空气质量根本改善健康效益研究</w:t>
      </w:r>
    </w:p>
    <w:p w14:paraId="3CBDACF5">
      <w:pPr>
        <w:pStyle w:val="2"/>
        <w:keepNext w:val="0"/>
        <w:keepLines w:val="0"/>
        <w:widowControl/>
        <w:suppressLineNumbers w:val="0"/>
        <w:rPr>
          <w:sz w:val="21"/>
          <w:szCs w:val="21"/>
        </w:rPr>
      </w:pPr>
      <w:r>
        <w:rPr>
          <w:rFonts w:hint="default" w:ascii="仿宋_GB2312" w:eastAsia="仿宋_GB2312" w:cs="仿宋_GB2312"/>
          <w:kern w:val="2"/>
          <w:sz w:val="24"/>
          <w:szCs w:val="24"/>
        </w:rPr>
        <w:t>15.城市高质量发展背景下美丽社区建设路径研究</w:t>
      </w:r>
    </w:p>
    <w:p w14:paraId="68FEEB44">
      <w:pPr>
        <w:pStyle w:val="2"/>
        <w:keepNext w:val="0"/>
        <w:keepLines w:val="0"/>
        <w:widowControl/>
        <w:suppressLineNumbers w:val="0"/>
        <w:rPr>
          <w:sz w:val="21"/>
          <w:szCs w:val="21"/>
        </w:rPr>
      </w:pPr>
      <w:r>
        <w:rPr>
          <w:rFonts w:hint="default" w:ascii="仿宋_GB2312" w:eastAsia="仿宋_GB2312" w:cs="仿宋_GB2312"/>
          <w:kern w:val="2"/>
          <w:sz w:val="24"/>
          <w:szCs w:val="24"/>
        </w:rPr>
        <w:t>16.全国碳市场下四川碳资产开发和履约成本控制研究</w:t>
      </w:r>
    </w:p>
    <w:p w14:paraId="708436A7">
      <w:pPr>
        <w:pStyle w:val="2"/>
        <w:keepNext w:val="0"/>
        <w:keepLines w:val="0"/>
        <w:widowControl/>
        <w:suppressLineNumbers w:val="0"/>
        <w:rPr>
          <w:sz w:val="21"/>
          <w:szCs w:val="21"/>
        </w:rPr>
      </w:pPr>
      <w:r>
        <w:rPr>
          <w:rFonts w:hint="default" w:ascii="仿宋_GB2312" w:eastAsia="仿宋_GB2312" w:cs="仿宋_GB2312"/>
          <w:kern w:val="2"/>
          <w:sz w:val="24"/>
          <w:szCs w:val="24"/>
        </w:rPr>
        <w:t>17.农文旅融合赋能四川乡村绿色振兴：模式创新、实践路径与政策协同研究</w:t>
      </w:r>
    </w:p>
    <w:p w14:paraId="41F6C791">
      <w:pPr>
        <w:pStyle w:val="2"/>
        <w:keepNext w:val="0"/>
        <w:keepLines w:val="0"/>
        <w:widowControl/>
        <w:suppressLineNumbers w:val="0"/>
        <w:rPr>
          <w:sz w:val="21"/>
          <w:szCs w:val="21"/>
        </w:rPr>
      </w:pPr>
      <w:r>
        <w:rPr>
          <w:rFonts w:hint="default" w:ascii="仿宋_GB2312" w:eastAsia="仿宋_GB2312" w:cs="仿宋_GB2312"/>
          <w:kern w:val="2"/>
          <w:sz w:val="24"/>
          <w:szCs w:val="24"/>
        </w:rPr>
        <w:t>18.生态修复的法律问题研究</w:t>
      </w:r>
    </w:p>
    <w:p w14:paraId="10849B7D">
      <w:pPr>
        <w:pStyle w:val="2"/>
        <w:keepNext w:val="0"/>
        <w:keepLines w:val="0"/>
        <w:widowControl/>
        <w:suppressLineNumbers w:val="0"/>
        <w:rPr>
          <w:sz w:val="21"/>
          <w:szCs w:val="21"/>
        </w:rPr>
      </w:pPr>
      <w:r>
        <w:rPr>
          <w:rFonts w:hint="default" w:ascii="仿宋_GB2312" w:eastAsia="仿宋_GB2312" w:cs="仿宋_GB2312"/>
          <w:kern w:val="2"/>
          <w:sz w:val="24"/>
          <w:szCs w:val="24"/>
        </w:rPr>
        <w:t>19.美丽四川建设背景下四川省制造业绿色低碳发展路径研究</w:t>
      </w:r>
    </w:p>
    <w:p w14:paraId="1D3492D0">
      <w:pPr>
        <w:pStyle w:val="2"/>
        <w:keepNext w:val="0"/>
        <w:keepLines w:val="0"/>
        <w:widowControl/>
        <w:suppressLineNumbers w:val="0"/>
      </w:pPr>
      <w:r>
        <w:rPr>
          <w:rFonts w:hint="default" w:ascii="仿宋_GB2312" w:eastAsia="仿宋_GB2312" w:cs="仿宋_GB2312"/>
          <w:kern w:val="2"/>
          <w:sz w:val="24"/>
          <w:szCs w:val="24"/>
        </w:rPr>
        <w:t>20.驱动绿色低碳转型的经济政策协同与市场机制创新研究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35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Office_12.1.0.23122_F1E327BC-269C-435d-A152-05C5408002CA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2025-11-06T01:37:54Z</dcterms:created>
  <dc:creator>34552</dc:creator>
  <cp:lastModifiedBy>Yushan</cp:lastModifiedBy>
  <dcterms:modified xsi:type="dcterms:W3CDTF">2025-11-06T01:38:30Z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2052-12.1.0.23122</vt:lpwstr>
  </property>
  <property fmtid="{D5CDD505-2E9C-101B-9397-08002B2CF9AE}" pid="3" name="KSOTemplateDocerSaveRecord">
    <vt:lpwstr>eyJoZGlkIjoiN2U4ZmI0OWFlMWRiMTQxMTlmZGU3NWNkYTVmZjQyYzkiLCJ1c2VySWQiOiI0MzM1NjcxMTkifQ==</vt:lpwstr>
  </property>
  <property fmtid="{D5CDD505-2E9C-101B-9397-08002B2CF9AE}" pid="4" name="ICV">
    <vt:lpwstr>D5461B4AC09C4390B0B2220A66ABE36C_12</vt:lpwstr>
  </property>
</Properties>
</file>