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612B96">
      <w:pPr>
        <w:keepNext w:val="0"/>
        <w:keepLines w:val="0"/>
        <w:pageBreakBefore w:val="0"/>
        <w:widowControl/>
        <w:kinsoku/>
        <w:wordWrap/>
        <w:overflowPunct/>
        <w:topLinePunct w:val="0"/>
        <w:autoSpaceDE/>
        <w:autoSpaceDN/>
        <w:bidi w:val="0"/>
        <w:adjustRightInd/>
        <w:snapToGrid/>
        <w:spacing w:after="0" w:line="540" w:lineRule="exact"/>
        <w:jc w:val="left"/>
        <w:textAlignment w:val="auto"/>
        <w:rPr>
          <w:rFonts w:hint="eastAsia" w:ascii="黑体" w:hAnsi="黑体" w:eastAsia="黑体" w:cs="黑体"/>
          <w:kern w:val="0"/>
          <w:sz w:val="32"/>
          <w:szCs w:val="32"/>
          <w:lang w:eastAsia="zh-CN"/>
        </w:rPr>
      </w:pPr>
      <w:bookmarkStart w:id="0" w:name="_GoBack"/>
      <w:bookmarkEnd w:id="0"/>
      <w:r>
        <w:rPr>
          <w:rFonts w:hint="eastAsia" w:ascii="黑体" w:hAnsi="黑体" w:eastAsia="黑体" w:cs="黑体"/>
          <w:kern w:val="0"/>
          <w:sz w:val="32"/>
          <w:szCs w:val="32"/>
        </w:rPr>
        <w:t>附件</w:t>
      </w:r>
      <w:r>
        <w:rPr>
          <w:rFonts w:hint="eastAsia" w:ascii="黑体" w:hAnsi="黑体" w:eastAsia="黑体" w:cs="黑体"/>
          <w:kern w:val="0"/>
          <w:sz w:val="32"/>
          <w:szCs w:val="32"/>
          <w:lang w:val="en-US" w:eastAsia="zh-CN"/>
        </w:rPr>
        <w:t>1</w:t>
      </w:r>
    </w:p>
    <w:p w14:paraId="1763171E">
      <w:pPr>
        <w:keepNext w:val="0"/>
        <w:keepLines w:val="0"/>
        <w:pageBreakBefore w:val="0"/>
        <w:widowControl/>
        <w:kinsoku/>
        <w:wordWrap/>
        <w:overflowPunct/>
        <w:topLinePunct w:val="0"/>
        <w:autoSpaceDE/>
        <w:autoSpaceDN/>
        <w:bidi w:val="0"/>
        <w:adjustRightInd w:val="0"/>
        <w:snapToGrid w:val="0"/>
        <w:spacing w:after="0" w:line="540" w:lineRule="exact"/>
        <w:jc w:val="center"/>
        <w:textAlignment w:val="auto"/>
        <w:rPr>
          <w:rFonts w:hint="eastAsia" w:ascii="方正小标宋简体" w:hAnsi="方正小标宋简体" w:eastAsia="方正小标宋简体" w:cs="方正小标宋简体"/>
          <w:b w:val="0"/>
          <w:bCs w:val="0"/>
          <w:color w:val="auto"/>
          <w:kern w:val="0"/>
          <w:sz w:val="44"/>
          <w:szCs w:val="44"/>
          <w:lang w:eastAsia="zh-CN"/>
        </w:rPr>
      </w:pPr>
      <w:r>
        <w:rPr>
          <w:rFonts w:hint="eastAsia" w:ascii="方正小标宋简体" w:hAnsi="方正小标宋简体" w:eastAsia="方正小标宋简体" w:cs="方正小标宋简体"/>
          <w:b w:val="0"/>
          <w:bCs w:val="0"/>
          <w:color w:val="auto"/>
          <w:kern w:val="0"/>
          <w:sz w:val="44"/>
          <w:szCs w:val="44"/>
          <w:lang w:val="en-US" w:eastAsia="zh-CN"/>
        </w:rPr>
        <w:t>德阳农业科技职业学院</w:t>
      </w:r>
    </w:p>
    <w:p w14:paraId="6FF3CE94">
      <w:pPr>
        <w:keepNext w:val="0"/>
        <w:keepLines w:val="0"/>
        <w:pageBreakBefore w:val="0"/>
        <w:widowControl/>
        <w:kinsoku/>
        <w:wordWrap/>
        <w:overflowPunct/>
        <w:topLinePunct w:val="0"/>
        <w:autoSpaceDE/>
        <w:autoSpaceDN/>
        <w:bidi w:val="0"/>
        <w:adjustRightInd w:val="0"/>
        <w:snapToGrid w:val="0"/>
        <w:spacing w:after="361" w:afterLines="100" w:line="540" w:lineRule="exact"/>
        <w:jc w:val="center"/>
        <w:textAlignment w:val="auto"/>
        <w:rPr>
          <w:rFonts w:hint="eastAsia" w:ascii="方正小标宋简体" w:hAnsi="方正小标宋简体" w:eastAsia="方正小标宋简体" w:cs="方正小标宋简体"/>
          <w:b w:val="0"/>
          <w:bCs w:val="0"/>
          <w:color w:val="auto"/>
          <w:kern w:val="0"/>
          <w:sz w:val="44"/>
          <w:szCs w:val="44"/>
          <w:lang w:eastAsia="zh-CN"/>
        </w:rPr>
      </w:pPr>
      <w:r>
        <w:rPr>
          <w:rFonts w:hint="eastAsia" w:ascii="方正小标宋简体" w:hAnsi="方正小标宋简体" w:eastAsia="方正小标宋简体" w:cs="方正小标宋简体"/>
          <w:b w:val="0"/>
          <w:bCs w:val="0"/>
          <w:color w:val="auto"/>
          <w:kern w:val="0"/>
          <w:sz w:val="44"/>
          <w:szCs w:val="44"/>
          <w:lang w:eastAsia="zh-CN"/>
        </w:rPr>
        <w:t>2025年</w:t>
      </w:r>
      <w:r>
        <w:rPr>
          <w:rFonts w:hint="eastAsia" w:ascii="方正小标宋简体" w:hAnsi="方正小标宋简体" w:eastAsia="方正小标宋简体" w:cs="方正小标宋简体"/>
          <w:b w:val="0"/>
          <w:bCs w:val="0"/>
          <w:color w:val="auto"/>
          <w:kern w:val="0"/>
          <w:sz w:val="44"/>
          <w:szCs w:val="44"/>
          <w:lang w:val="en-US" w:eastAsia="zh-CN"/>
        </w:rPr>
        <w:t>教研教改</w:t>
      </w:r>
      <w:r>
        <w:rPr>
          <w:rFonts w:hint="eastAsia" w:ascii="方正小标宋简体" w:hAnsi="方正小标宋简体" w:eastAsia="方正小标宋简体" w:cs="方正小标宋简体"/>
          <w:b w:val="0"/>
          <w:bCs w:val="0"/>
          <w:color w:val="auto"/>
          <w:kern w:val="0"/>
          <w:sz w:val="44"/>
          <w:szCs w:val="44"/>
          <w:lang w:eastAsia="zh-CN"/>
        </w:rPr>
        <w:t>课题选题指南</w:t>
      </w:r>
    </w:p>
    <w:p w14:paraId="24A1F4BD">
      <w:pPr>
        <w:keepNext w:val="0"/>
        <w:keepLines w:val="0"/>
        <w:pageBreakBefore w:val="0"/>
        <w:widowControl/>
        <w:kinsoku/>
        <w:wordWrap/>
        <w:overflowPunct/>
        <w:topLinePunct w:val="0"/>
        <w:autoSpaceDE/>
        <w:autoSpaceDN/>
        <w:bidi w:val="0"/>
        <w:adjustRightInd w:val="0"/>
        <w:snapToGrid w:val="0"/>
        <w:spacing w:after="361" w:afterLines="100" w:line="540" w:lineRule="exact"/>
        <w:jc w:val="center"/>
        <w:textAlignment w:val="auto"/>
        <w:rPr>
          <w:rFonts w:hint="eastAsia" w:ascii="方正小标宋简体" w:hAnsi="方正小标宋简体" w:eastAsia="方正小标宋简体" w:cs="方正小标宋简体"/>
          <w:b w:val="0"/>
          <w:bCs w:val="0"/>
          <w:color w:val="auto"/>
          <w:kern w:val="0"/>
          <w:sz w:val="44"/>
          <w:szCs w:val="44"/>
          <w:lang w:eastAsia="zh-CN"/>
        </w:rPr>
      </w:pPr>
    </w:p>
    <w:p w14:paraId="6813D4E7">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1.新时期高职院校产教融合共同体的育人模式研究</w:t>
      </w:r>
    </w:p>
    <w:p w14:paraId="519BB0D7">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2.高职院校专业建设评价指标体系研究</w:t>
      </w:r>
    </w:p>
    <w:p w14:paraId="3222CF4E">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3.高职院校数字化转型专业群课程体系研究</w:t>
      </w:r>
    </w:p>
    <w:p w14:paraId="5114A977">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4</w:t>
      </w:r>
      <w:r>
        <w:rPr>
          <w:rFonts w:hint="eastAsia" w:ascii="仿宋" w:hAnsi="仿宋" w:eastAsia="仿宋" w:cs="仿宋"/>
          <w:kern w:val="0"/>
          <w:sz w:val="32"/>
          <w:szCs w:val="32"/>
        </w:rPr>
        <w:t>.高职院校产教融合的创新教育课程体系研究</w:t>
      </w:r>
    </w:p>
    <w:p w14:paraId="3CB73909">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.高职院校数字化教学资源共建共享与协同创新的研究与实践</w:t>
      </w:r>
    </w:p>
    <w:p w14:paraId="240FF92B">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.高职院校“AI+教育”教学新模式的理论与实践探索</w:t>
      </w:r>
    </w:p>
    <w:p w14:paraId="22CCB1DF">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7</w:t>
      </w:r>
      <w:r>
        <w:rPr>
          <w:rFonts w:hint="eastAsia" w:ascii="仿宋" w:hAnsi="仿宋" w:eastAsia="仿宋" w:cs="仿宋"/>
          <w:kern w:val="0"/>
          <w:sz w:val="32"/>
          <w:szCs w:val="32"/>
        </w:rPr>
        <w:t>.高职院校案例式、启发式、探究式等教学方法的研究与应用</w:t>
      </w:r>
    </w:p>
    <w:p w14:paraId="6CDAF71E">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8</w:t>
      </w:r>
      <w:r>
        <w:rPr>
          <w:rFonts w:hint="eastAsia" w:ascii="仿宋" w:hAnsi="仿宋" w:eastAsia="仿宋" w:cs="仿宋"/>
          <w:kern w:val="0"/>
          <w:sz w:val="32"/>
          <w:szCs w:val="32"/>
        </w:rPr>
        <w:t>.数字化时代高职院校新型活页式、工作手册式教材建设实践</w:t>
      </w:r>
    </w:p>
    <w:p w14:paraId="3056BE2C">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9</w:t>
      </w:r>
      <w:r>
        <w:rPr>
          <w:rFonts w:hint="eastAsia" w:ascii="仿宋" w:hAnsi="仿宋" w:eastAsia="仿宋" w:cs="仿宋"/>
          <w:kern w:val="0"/>
          <w:sz w:val="32"/>
          <w:szCs w:val="32"/>
        </w:rPr>
        <w:t>.高职院校课程思政融入专业课程的实践路径探索</w:t>
      </w:r>
    </w:p>
    <w:p w14:paraId="22FFEBD3">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0</w:t>
      </w:r>
      <w:r>
        <w:rPr>
          <w:rFonts w:hint="eastAsia" w:ascii="仿宋" w:hAnsi="仿宋" w:eastAsia="仿宋" w:cs="仿宋"/>
          <w:kern w:val="0"/>
          <w:sz w:val="32"/>
          <w:szCs w:val="32"/>
        </w:rPr>
        <w:t>.基于生成式 AI 的个性化课堂教学设计研究与实践</w:t>
      </w:r>
    </w:p>
    <w:p w14:paraId="3DAD7810">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1</w:t>
      </w:r>
      <w:r>
        <w:rPr>
          <w:rFonts w:hint="eastAsia" w:ascii="仿宋" w:hAnsi="仿宋" w:eastAsia="仿宋" w:cs="仿宋"/>
          <w:kern w:val="0"/>
          <w:sz w:val="32"/>
          <w:szCs w:val="32"/>
        </w:rPr>
        <w:t>.基于数字化转型的高职院校实践教学改革</w:t>
      </w:r>
    </w:p>
    <w:p w14:paraId="6A881A45">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.高职院校“双师型”师资队伍建设的研究与实践</w:t>
      </w:r>
    </w:p>
    <w:p w14:paraId="3791CD79">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13</w:t>
      </w:r>
      <w:r>
        <w:rPr>
          <w:rFonts w:hint="eastAsia" w:ascii="仿宋" w:hAnsi="仿宋" w:eastAsia="仿宋" w:cs="仿宋"/>
          <w:kern w:val="0"/>
          <w:sz w:val="32"/>
          <w:szCs w:val="32"/>
        </w:rPr>
        <w:t>.高职院校教学团队与高水平教师队伍建设的研究与实践</w:t>
      </w:r>
    </w:p>
    <w:p w14:paraId="3970A057">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4</w:t>
      </w:r>
      <w:r>
        <w:rPr>
          <w:rFonts w:hint="eastAsia" w:ascii="仿宋" w:hAnsi="仿宋" w:eastAsia="仿宋" w:cs="仿宋"/>
          <w:kern w:val="0"/>
          <w:sz w:val="32"/>
          <w:szCs w:val="32"/>
        </w:rPr>
        <w:t>.人工智能背景下高职院校师资队伍数字化教学能力提升路径探索与实践​</w:t>
      </w:r>
    </w:p>
    <w:p w14:paraId="246A394B">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rPr>
        <w:t>.民办高职院校教学激励与评价保障机制的研究与实践</w:t>
      </w:r>
    </w:p>
    <w:p w14:paraId="1FF11E94">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.高职院校教师教学评价体系的研究</w:t>
      </w:r>
    </w:p>
    <w:p w14:paraId="471FDFE9">
      <w:pPr>
        <w:keepNext w:val="0"/>
        <w:keepLines w:val="0"/>
        <w:pageBreakBefore w:val="0"/>
        <w:widowControl/>
        <w:kinsoku/>
        <w:wordWrap/>
        <w:overflowPunct/>
        <w:topLinePunct w:val="0"/>
        <w:autoSpaceDE/>
        <w:autoSpaceDN/>
        <w:bidi w:val="0"/>
        <w:adjustRightInd w:val="0"/>
        <w:snapToGrid w:val="0"/>
        <w:spacing w:after="0" w:line="480" w:lineRule="auto"/>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kern w:val="0"/>
          <w:sz w:val="32"/>
          <w:szCs w:val="32"/>
          <w:lang w:val="en-US" w:eastAsia="zh-CN"/>
        </w:rPr>
        <w:t>7</w:t>
      </w:r>
      <w:r>
        <w:rPr>
          <w:rFonts w:hint="eastAsia" w:ascii="仿宋" w:hAnsi="仿宋" w:eastAsia="仿宋" w:cs="仿宋"/>
          <w:kern w:val="0"/>
          <w:sz w:val="32"/>
          <w:szCs w:val="32"/>
        </w:rPr>
        <w:t>.案例式（项目式、混合式、分层式）教学模式的研究与实践</w:t>
      </w:r>
    </w:p>
    <w:p w14:paraId="4230F75F">
      <w:pPr>
        <w:rPr>
          <w:rFonts w:hint="eastAsia" w:ascii="仿宋" w:hAnsi="仿宋" w:eastAsia="仿宋" w:cs="仿宋"/>
          <w:sz w:val="32"/>
          <w:szCs w:val="32"/>
        </w:rPr>
      </w:pPr>
    </w:p>
    <w:sectPr>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0002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wNjJkNjg1OWE0YTJlZDA0NWVlMmZmNWM5NmJmMTIifQ=="/>
  </w:docVars>
  <w:rsids>
    <w:rsidRoot w:val="7073261E"/>
    <w:rsid w:val="09DC0C8E"/>
    <w:rsid w:val="1A43587B"/>
    <w:rsid w:val="280D51BF"/>
    <w:rsid w:val="293A2897"/>
    <w:rsid w:val="305242FC"/>
    <w:rsid w:val="34B561E0"/>
    <w:rsid w:val="362E39BD"/>
    <w:rsid w:val="4169794B"/>
    <w:rsid w:val="49666198"/>
    <w:rsid w:val="49D4580E"/>
    <w:rsid w:val="4C117379"/>
    <w:rsid w:val="625E1DEF"/>
    <w:rsid w:val="7073261E"/>
    <w:rsid w:val="7CF315B9"/>
    <w:rsid w:val="7D496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979</Words>
  <Characters>1037</Characters>
  <Lines>0</Lines>
  <Paragraphs>0</Paragraphs>
  <TotalTime>46</TotalTime>
  <ScaleCrop>false</ScaleCrop>
  <LinksUpToDate>false</LinksUpToDate>
  <CharactersWithSpaces>1376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2025-04-02T01:10:00Z</dcterms:created>
  <dc:creator>林欲晓</dc:creator>
  <cp:lastModifiedBy>Yushan</cp:lastModifiedBy>
  <cp:lastPrinted>2025-04-14T01:16:00Z</cp:lastPrinted>
  <dcterms:modified xsi:type="dcterms:W3CDTF">2025-04-14T08:30:11Z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0D9FEEC5694B441BBC79E0ABAC8CEE15_13</vt:lpwstr>
  </property>
  <property fmtid="{D5CDD505-2E9C-101B-9397-08002B2CF9AE}" pid="4" name="KSOTemplateDocerSaveRecord">
    <vt:lpwstr>eyJoZGlkIjoiM2E3YmUxMTc5NzEzY2UyMDI5ZDgzNDE3MTg4MGZiYWMiLCJ1c2VySWQiOiIyNzc2NjI4NzgifQ==</vt:lpwstr>
  </property>
</Properties>
</file>